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348BA788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Asistencia Alimentaria (Despensas y Desayunos Escolares)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5C333C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3A5C262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4C3A2339" w:rsidR="002E2401" w:rsidRPr="00AA45DE" w:rsidRDefault="0099090A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F92B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24A82B82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771385">
              <w:rPr>
                <w:rFonts w:asciiTheme="minorHAnsi" w:hAnsiTheme="minorHAnsi"/>
                <w:iCs/>
                <w:lang w:val="es-ES"/>
              </w:rPr>
              <w:t>Mejorar los mecanismos de supervisión y seguimiento de los Programas Alimentarios del SEDIF con los SMDIF, con el objeto de brindar una mejor atención.</w:t>
            </w:r>
          </w:p>
        </w:tc>
        <w:tc>
          <w:tcPr>
            <w:tcW w:w="2693" w:type="dxa"/>
            <w:shd w:val="clear" w:color="auto" w:fill="auto"/>
          </w:tcPr>
          <w:p w14:paraId="3BE12C11" w14:textId="3C7270C1" w:rsidR="00293605" w:rsidRPr="00A2369A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A2369A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28599A" w:rsidRPr="00A2369A">
              <w:rPr>
                <w:rFonts w:asciiTheme="minorHAnsi" w:hAnsiTheme="minorHAnsi"/>
                <w:iCs/>
              </w:rPr>
              <w:t>diagnóstico</w:t>
            </w:r>
            <w:r w:rsidRPr="00A2369A">
              <w:rPr>
                <w:rFonts w:asciiTheme="minorHAnsi" w:hAnsiTheme="minorHAnsi"/>
                <w:iCs/>
              </w:rPr>
              <w:t xml:space="preserve"> a los mecanismos de supervisión y seguimiento.</w:t>
            </w:r>
          </w:p>
        </w:tc>
        <w:tc>
          <w:tcPr>
            <w:tcW w:w="2443" w:type="dxa"/>
            <w:shd w:val="clear" w:color="auto" w:fill="auto"/>
          </w:tcPr>
          <w:p w14:paraId="48645C78" w14:textId="28E60B8A" w:rsidR="00293605" w:rsidRPr="00A2369A" w:rsidRDefault="00771385" w:rsidP="00A2369A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A2369A">
              <w:rPr>
                <w:rFonts w:asciiTheme="minorHAnsi" w:hAnsiTheme="minorHAnsi"/>
                <w:iCs/>
              </w:rPr>
              <w:t>Llevar a cabo el diagn</w:t>
            </w:r>
            <w:r w:rsidR="0028599A" w:rsidRPr="00A2369A">
              <w:rPr>
                <w:rFonts w:asciiTheme="minorHAnsi" w:hAnsiTheme="minorHAnsi"/>
                <w:iCs/>
              </w:rPr>
              <w:t>ó</w:t>
            </w:r>
            <w:r w:rsidRPr="00A2369A">
              <w:rPr>
                <w:rFonts w:asciiTheme="minorHAnsi" w:hAnsiTheme="minorHAnsi"/>
                <w:iCs/>
              </w:rPr>
              <w:t xml:space="preserve">stico, el cual concluirá en </w:t>
            </w:r>
            <w:r w:rsidR="00A2369A" w:rsidRPr="00A2369A">
              <w:rPr>
                <w:rFonts w:asciiTheme="minorHAnsi" w:hAnsiTheme="minorHAnsi"/>
                <w:iCs/>
              </w:rPr>
              <w:t>noviembre</w:t>
            </w:r>
            <w:r w:rsidRPr="00A2369A">
              <w:rPr>
                <w:rFonts w:asciiTheme="minorHAnsi" w:hAnsiTheme="minorHAnsi"/>
                <w:iCs/>
              </w:rPr>
              <w:t xml:space="preserve"> de 20</w:t>
            </w:r>
            <w:r w:rsidR="0099090A" w:rsidRPr="00A2369A">
              <w:rPr>
                <w:rFonts w:asciiTheme="minorHAnsi" w:hAnsiTheme="minorHAnsi"/>
                <w:iCs/>
              </w:rPr>
              <w:t>21</w:t>
            </w:r>
            <w:r w:rsidRPr="00A2369A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F92B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38CA394B" w:rsidR="00771385" w:rsidRPr="00771385" w:rsidRDefault="00771385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771385">
              <w:rPr>
                <w:rFonts w:asciiTheme="minorHAnsi" w:hAnsiTheme="minorHAnsi"/>
                <w:iCs/>
                <w:lang w:val="es-ES"/>
              </w:rPr>
              <w:t>Incrementar la capacitación al personal que atiende los programas alimentarios en los SMDIF para mejorar la eficiencia en los mismos.</w:t>
            </w:r>
          </w:p>
        </w:tc>
        <w:tc>
          <w:tcPr>
            <w:tcW w:w="2693" w:type="dxa"/>
            <w:shd w:val="clear" w:color="auto" w:fill="auto"/>
          </w:tcPr>
          <w:p w14:paraId="04CB3EDC" w14:textId="4280BDA0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 xml:space="preserve">Es factible, se tiene planeado elaborar un </w:t>
            </w:r>
            <w:r w:rsidR="0028599A" w:rsidRPr="00A2369A">
              <w:rPr>
                <w:rFonts w:asciiTheme="minorHAnsi" w:hAnsiTheme="minorHAnsi"/>
              </w:rPr>
              <w:t>diagnóstico</w:t>
            </w:r>
            <w:r w:rsidRPr="00A2369A">
              <w:rPr>
                <w:rFonts w:asciiTheme="minorHAnsi" w:hAnsiTheme="minorHAnsi"/>
              </w:rPr>
              <w:t xml:space="preserve"> a la capacitación al personal.</w:t>
            </w:r>
          </w:p>
          <w:p w14:paraId="5491662C" w14:textId="77777777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31F316AD" w14:textId="61132445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>Además de buscar incrementar al número de personas en los SMDIF que reciban la capacitación.</w:t>
            </w:r>
          </w:p>
        </w:tc>
        <w:tc>
          <w:tcPr>
            <w:tcW w:w="2443" w:type="dxa"/>
            <w:shd w:val="clear" w:color="auto" w:fill="auto"/>
          </w:tcPr>
          <w:p w14:paraId="423D19F6" w14:textId="15CC2B4A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 xml:space="preserve">Actualizar la capacitación al personal de los SMDIF, la cual concluirá en </w:t>
            </w:r>
            <w:r w:rsidR="00A2369A" w:rsidRPr="00A2369A">
              <w:rPr>
                <w:rFonts w:asciiTheme="minorHAnsi" w:hAnsiTheme="minorHAnsi"/>
              </w:rPr>
              <w:t>noviembre</w:t>
            </w:r>
            <w:r w:rsidRPr="00A2369A">
              <w:rPr>
                <w:rFonts w:asciiTheme="minorHAnsi" w:hAnsiTheme="minorHAnsi"/>
              </w:rPr>
              <w:t xml:space="preserve"> de 20</w:t>
            </w:r>
            <w:r w:rsidR="0099090A" w:rsidRPr="00A2369A">
              <w:rPr>
                <w:rFonts w:asciiTheme="minorHAnsi" w:hAnsiTheme="minorHAnsi"/>
              </w:rPr>
              <w:t>21</w:t>
            </w:r>
            <w:r w:rsidRPr="00A2369A">
              <w:rPr>
                <w:rFonts w:asciiTheme="minorHAnsi" w:hAnsiTheme="minorHAnsi"/>
              </w:rPr>
              <w:t>.</w:t>
            </w:r>
          </w:p>
          <w:p w14:paraId="22E3F19B" w14:textId="77777777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55B9AEA8" w14:textId="7A03E33E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 xml:space="preserve">Incrementar el número de personas en los SMDIF que reciban la capacitación,  la cual concluirá en </w:t>
            </w:r>
            <w:r w:rsidR="00A2369A" w:rsidRPr="00A2369A">
              <w:rPr>
                <w:rFonts w:asciiTheme="minorHAnsi" w:hAnsiTheme="minorHAnsi"/>
                <w:iCs/>
              </w:rPr>
              <w:t xml:space="preserve"> </w:t>
            </w:r>
            <w:r w:rsidR="00A2369A" w:rsidRPr="00A2369A">
              <w:rPr>
                <w:rFonts w:asciiTheme="minorHAnsi" w:hAnsiTheme="minorHAnsi"/>
                <w:iCs/>
              </w:rPr>
              <w:t xml:space="preserve">noviembre </w:t>
            </w:r>
            <w:r w:rsidRPr="00A2369A">
              <w:rPr>
                <w:rFonts w:asciiTheme="minorHAnsi" w:hAnsiTheme="minorHAnsi"/>
              </w:rPr>
              <w:t>de 20</w:t>
            </w:r>
            <w:r w:rsidR="0099090A" w:rsidRPr="00A2369A">
              <w:rPr>
                <w:rFonts w:asciiTheme="minorHAnsi" w:hAnsiTheme="minorHAnsi"/>
              </w:rPr>
              <w:t>21</w:t>
            </w:r>
            <w:r w:rsidRPr="00A2369A">
              <w:rPr>
                <w:rFonts w:asciiTheme="minorHAnsi" w:hAnsiTheme="minorHAnsi"/>
              </w:rPr>
              <w:t>.</w:t>
            </w:r>
          </w:p>
        </w:tc>
      </w:tr>
      <w:tr w:rsidR="00771385" w:rsidRPr="00930172" w14:paraId="60F77572" w14:textId="77777777" w:rsidTr="00F92B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6ADD51D4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  <w:lang w:val="es-ES"/>
              </w:rPr>
              <w:t>Ofrecer más capacitaciones de Orientación Alimentaria al personal de nutrición de los SMDIF</w:t>
            </w:r>
          </w:p>
        </w:tc>
        <w:tc>
          <w:tcPr>
            <w:tcW w:w="2693" w:type="dxa"/>
            <w:shd w:val="clear" w:color="auto" w:fill="auto"/>
          </w:tcPr>
          <w:p w14:paraId="37E3776D" w14:textId="3A27093F" w:rsidR="00771385" w:rsidRPr="00A2369A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 xml:space="preserve">Es factible, incrementar el número de capacitaciones </w:t>
            </w:r>
            <w:r w:rsidR="009263AE" w:rsidRPr="00A2369A">
              <w:rPr>
                <w:rFonts w:asciiTheme="minorHAnsi" w:hAnsiTheme="minorHAnsi"/>
              </w:rPr>
              <w:t>al personal.</w:t>
            </w:r>
          </w:p>
        </w:tc>
        <w:tc>
          <w:tcPr>
            <w:tcW w:w="2443" w:type="dxa"/>
            <w:shd w:val="clear" w:color="auto" w:fill="auto"/>
          </w:tcPr>
          <w:p w14:paraId="2C695BE7" w14:textId="0CA86B86" w:rsidR="00771385" w:rsidRPr="00A2369A" w:rsidRDefault="009263AE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369A">
              <w:rPr>
                <w:rFonts w:asciiTheme="minorHAnsi" w:hAnsiTheme="minorHAnsi"/>
              </w:rPr>
              <w:t xml:space="preserve">Llevar a cabo </w:t>
            </w:r>
            <w:r w:rsidR="0028599A" w:rsidRPr="00A2369A">
              <w:rPr>
                <w:rFonts w:asciiTheme="minorHAnsi" w:hAnsiTheme="minorHAnsi"/>
              </w:rPr>
              <w:t>más</w:t>
            </w:r>
            <w:r w:rsidRPr="00A2369A">
              <w:rPr>
                <w:rFonts w:asciiTheme="minorHAnsi" w:hAnsiTheme="minorHAnsi"/>
              </w:rPr>
              <w:t xml:space="preserve"> capacitaciones que se lle</w:t>
            </w:r>
            <w:r w:rsidR="0099090A" w:rsidRPr="00A2369A">
              <w:rPr>
                <w:rFonts w:asciiTheme="minorHAnsi" w:hAnsiTheme="minorHAnsi"/>
              </w:rPr>
              <w:t>varan a cabo durante el año 2021</w:t>
            </w:r>
            <w:r w:rsidRPr="00A2369A">
              <w:rPr>
                <w:rFonts w:asciiTheme="minorHAnsi" w:hAnsiTheme="minorHAnsi"/>
              </w:rPr>
              <w:t>.</w:t>
            </w:r>
            <w:bookmarkStart w:id="0" w:name="_GoBack"/>
            <w:bookmarkEnd w:id="0"/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C290610" w14:textId="77777777" w:rsidR="00AD4878" w:rsidRPr="00AD4878" w:rsidRDefault="00AD4878" w:rsidP="0021310E">
      <w:pPr>
        <w:pStyle w:val="Prrafodelista"/>
        <w:numPr>
          <w:ilvl w:val="0"/>
          <w:numId w:val="3"/>
        </w:numPr>
        <w:ind w:right="-141"/>
        <w:jc w:val="both"/>
        <w:rPr>
          <w:rFonts w:asciiTheme="minorHAnsi" w:hAnsiTheme="minorHAnsi"/>
          <w:sz w:val="24"/>
          <w:szCs w:val="24"/>
        </w:rPr>
      </w:pPr>
      <w:r w:rsidRPr="00AD4878">
        <w:rPr>
          <w:rFonts w:asciiTheme="minorHAnsi" w:hAnsiTheme="minorHAnsi"/>
          <w:sz w:val="24"/>
          <w:szCs w:val="24"/>
        </w:rPr>
        <w:t xml:space="preserve">Los Programas Alimentarios cubren sus metas y avances de manera ascendente con lo proyectado en el año 2020. </w:t>
      </w:r>
    </w:p>
    <w:p w14:paraId="4DD983FC" w14:textId="77777777" w:rsidR="00FA04A3" w:rsidRDefault="00FA04A3" w:rsidP="0021310E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</w:rPr>
      </w:pPr>
    </w:p>
    <w:p w14:paraId="5114984A" w14:textId="77777777" w:rsidR="00AD4878" w:rsidRPr="00AD4878" w:rsidRDefault="00AD4878" w:rsidP="0021310E">
      <w:pPr>
        <w:pStyle w:val="Prrafodelista"/>
        <w:numPr>
          <w:ilvl w:val="0"/>
          <w:numId w:val="3"/>
        </w:numPr>
        <w:ind w:right="-141"/>
        <w:jc w:val="both"/>
        <w:rPr>
          <w:rFonts w:asciiTheme="minorHAnsi" w:hAnsiTheme="minorHAnsi"/>
          <w:sz w:val="24"/>
          <w:szCs w:val="24"/>
        </w:rPr>
      </w:pPr>
      <w:r w:rsidRPr="00AD4878">
        <w:rPr>
          <w:rFonts w:asciiTheme="minorHAnsi" w:hAnsiTheme="minorHAnsi"/>
          <w:sz w:val="24"/>
          <w:szCs w:val="24"/>
        </w:rPr>
        <w:t>Exceptuando el programa de fruta fresca a las niñas y niños que acuden a los planteles escolares del sistema educativo nacional, ya que con motivo de la pandemia ocasionada por el coronavirus SARS-COV2 COVID-19, los niños no se presentaron en las escuelas y se procedió a la cancelación del contrato.</w:t>
      </w:r>
    </w:p>
    <w:p w14:paraId="5E2F2112" w14:textId="77777777" w:rsidR="00AD4878" w:rsidRPr="00AD4878" w:rsidRDefault="00AD4878" w:rsidP="0021310E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</w:rPr>
      </w:pPr>
    </w:p>
    <w:p w14:paraId="62830199" w14:textId="3DD63530" w:rsidR="00AD4878" w:rsidRPr="0021310E" w:rsidRDefault="00AD4878" w:rsidP="0021310E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Se mantiene el </w:t>
      </w:r>
      <w:r w:rsidR="00FA04A3">
        <w:rPr>
          <w:rFonts w:asciiTheme="minorHAnsi" w:hAnsiTheme="minorHAnsi"/>
          <w:sz w:val="24"/>
          <w:szCs w:val="24"/>
          <w:lang w:val="es-ES"/>
        </w:rPr>
        <w:t>padrón</w:t>
      </w:r>
      <w:r w:rsidR="00232E33">
        <w:rPr>
          <w:rFonts w:asciiTheme="minorHAnsi" w:hAnsiTheme="minorHAnsi"/>
          <w:sz w:val="24"/>
          <w:szCs w:val="24"/>
          <w:lang w:val="es-ES"/>
        </w:rPr>
        <w:t xml:space="preserve"> de personas beneficiadas</w:t>
      </w:r>
      <w:r w:rsidR="00FA04A3">
        <w:rPr>
          <w:rFonts w:asciiTheme="minorHAnsi" w:hAnsiTheme="minorHAnsi"/>
          <w:sz w:val="24"/>
          <w:szCs w:val="24"/>
          <w:lang w:val="es-ES"/>
        </w:rPr>
        <w:t>.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529CB559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</w:t>
      </w:r>
      <w:r w:rsidR="0035474E">
        <w:rPr>
          <w:rFonts w:asciiTheme="minorHAnsi" w:hAnsiTheme="minorHAnsi"/>
          <w:bCs/>
          <w:sz w:val="24"/>
          <w:szCs w:val="24"/>
          <w:lang w:val="es-ES"/>
        </w:rPr>
        <w:t>ión para el Ejercicio Fiscal 2020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83CD1" w14:textId="77777777" w:rsidR="009C5D0D" w:rsidRDefault="009C5D0D" w:rsidP="008E5209">
      <w:pPr>
        <w:spacing w:after="0" w:line="240" w:lineRule="auto"/>
      </w:pPr>
      <w:r>
        <w:separator/>
      </w:r>
    </w:p>
  </w:endnote>
  <w:endnote w:type="continuationSeparator" w:id="0">
    <w:p w14:paraId="6EA220C0" w14:textId="77777777" w:rsidR="009C5D0D" w:rsidRDefault="009C5D0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4384B" w14:textId="77777777" w:rsidR="009C5D0D" w:rsidRDefault="009C5D0D" w:rsidP="008E5209">
      <w:pPr>
        <w:spacing w:after="0" w:line="240" w:lineRule="auto"/>
      </w:pPr>
      <w:r>
        <w:separator/>
      </w:r>
    </w:p>
  </w:footnote>
  <w:footnote w:type="continuationSeparator" w:id="0">
    <w:p w14:paraId="49228138" w14:textId="77777777" w:rsidR="009C5D0D" w:rsidRDefault="009C5D0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A61E-A4C3-429F-823F-A95AB74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6</cp:revision>
  <cp:lastPrinted>2021-10-18T17:24:00Z</cp:lastPrinted>
  <dcterms:created xsi:type="dcterms:W3CDTF">2021-06-25T15:29:00Z</dcterms:created>
  <dcterms:modified xsi:type="dcterms:W3CDTF">2021-10-18T17:25:00Z</dcterms:modified>
</cp:coreProperties>
</file>